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72188E">
      <w:pPr>
        <w:shd w:val="clear" w:fill="8BC34A"/>
        <w:spacing w:before="120" w:after="240"/>
        <w:ind w:left="113"/>
      </w:pPr>
      <w:r>
        <w:rPr>
          <w:rFonts w:ascii="Arial" w:hAnsi="Arial" w:eastAsia="Arial"/>
          <w:b/>
          <w:i w:val="0"/>
          <w:color w:val="FFFFFF"/>
          <w:sz w:val="34"/>
        </w:rPr>
        <w:t>MICRO LOSS BLOWER HEAT DESICCANT AIR DRYER</w:t>
      </w:r>
    </w:p>
    <w:p w14:paraId="52E3B984">
      <w:pPr>
        <w:spacing w:after="120"/>
        <w:rPr>
          <w:rFonts w:hint="default" w:ascii="Arial" w:hAnsi="Arial" w:eastAsia="Arial"/>
          <w:b/>
          <w:i w:val="0"/>
          <w:color w:val="558B2F"/>
          <w:sz w:val="24"/>
          <w:lang w:val="en-US" w:eastAsia="zh-CN"/>
        </w:rPr>
      </w:pPr>
      <w:r>
        <w:rPr>
          <w:rFonts w:hint="eastAsia" w:ascii="Arial" w:hAnsi="Arial" w:eastAsia="Arial"/>
          <w:b/>
          <w:i w:val="0"/>
          <w:color w:val="558B2F"/>
          <w:sz w:val="24"/>
          <w:lang w:val="en-US" w:eastAsia="zh-CN"/>
        </w:rPr>
        <w:t>Product Introduction</w:t>
      </w:r>
    </w:p>
    <w:p w14:paraId="6DE3A7D5">
      <w:pPr>
        <w:spacing w:after="200" w:line="312" w:lineRule="auto"/>
      </w:pPr>
      <w:r>
        <w:rPr>
          <w:rFonts w:ascii="Arial" w:hAnsi="Arial" w:eastAsia="Arial"/>
          <w:b w:val="0"/>
          <w:i w:val="0"/>
          <w:color w:val="444444"/>
          <w:sz w:val="19"/>
        </w:rPr>
        <w:t>The micro-loss blower heat series, similar to the zero-loss series, is also divided into two models according to whether the upstream front end is equipped with a chiller: the conventional series with chiller (EQG series) and the reinforced series without chiller (EQG-X series). The front-end refrigerated dryer significantly reduces the water content in the intake air and lowers the load; without it, the water content is many times higher. The two series share the same design principle but differ greatly due to different loads; users should select the corresponding series according to actual conditions.</w:t>
      </w:r>
    </w:p>
    <w:p w14:paraId="19B06734">
      <w:pPr>
        <w:spacing w:after="120"/>
      </w:pPr>
      <w:r>
        <w:rPr>
          <w:rFonts w:ascii="Arial" w:hAnsi="Arial" w:eastAsia="Arial"/>
          <w:b/>
          <w:i w:val="0"/>
          <w:color w:val="558B2F"/>
          <w:sz w:val="24"/>
        </w:rPr>
        <w:t>Standard Working Condition</w:t>
      </w:r>
    </w:p>
    <w:p w14:paraId="155EB6B5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8 ~ 12 hours standard cycle</w:t>
      </w:r>
    </w:p>
    <w:p w14:paraId="088F6CB0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Inlet pressure: 0.6 ~ 1.0 MPa</w:t>
      </w:r>
    </w:p>
    <w:p w14:paraId="0D0DA80B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Average regeneration gas consumption: 3 ~ 5%</w:t>
      </w:r>
    </w:p>
    <w:p w14:paraId="74D6BDB1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Inlet temperature: ≤ 38 ℃</w:t>
      </w:r>
    </w:p>
    <w:p w14:paraId="7834B3D1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Pressure d</w:t>
      </w:r>
      <w:bookmarkStart w:id="0" w:name="_GoBack"/>
      <w:bookmarkEnd w:id="0"/>
      <w:r>
        <w:rPr>
          <w:rFonts w:ascii="Arial" w:hAnsi="Arial" w:eastAsia="Arial"/>
          <w:b w:val="0"/>
          <w:i w:val="0"/>
          <w:color w:val="333333"/>
          <w:sz w:val="20"/>
        </w:rPr>
        <w:t>ew point: ≤ -40 ℃</w:t>
      </w:r>
    </w:p>
    <w:p w14:paraId="2C67411E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 w:val="0"/>
          <w:i w:val="0"/>
          <w:color w:val="333333"/>
          <w:sz w:val="20"/>
        </w:rPr>
        <w:t>Pressure loss: ≤ 0.021 MPa</w:t>
      </w:r>
    </w:p>
    <w:p w14:paraId="6D3463F6">
      <w:pPr>
        <w:spacing w:after="80"/>
      </w:pPr>
    </w:p>
    <w:p w14:paraId="486D22DC">
      <w:pPr>
        <w:spacing w:after="120"/>
      </w:pPr>
      <w:r>
        <w:rPr>
          <w:rFonts w:ascii="Arial" w:hAnsi="Arial" w:eastAsia="Arial"/>
          <w:b/>
          <w:i w:val="0"/>
          <w:color w:val="558B2F"/>
          <w:sz w:val="24"/>
        </w:rPr>
        <w:t>Product Features</w:t>
      </w:r>
    </w:p>
    <w:p w14:paraId="69F124A9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Reliable Adsorption: </w:t>
      </w:r>
      <w:r>
        <w:rPr>
          <w:rFonts w:ascii="Arial" w:hAnsi="Arial" w:eastAsia="Arial"/>
          <w:b w:val="0"/>
          <w:i w:val="0"/>
          <w:color w:val="333333"/>
          <w:sz w:val="20"/>
        </w:rPr>
        <w:t>with a specific surface area of 350 m²/g, this high-efficiency adsorbent developed with upstream suppliers has an excellent adsorption rate to ensure a stable dew point.</w:t>
      </w:r>
    </w:p>
    <w:p w14:paraId="136F2606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Durable Performance: </w:t>
      </w:r>
      <w:r>
        <w:rPr>
          <w:rFonts w:ascii="Arial" w:hAnsi="Arial" w:eastAsia="Arial"/>
          <w:b w:val="0"/>
          <w:i w:val="0"/>
          <w:color w:val="333333"/>
          <w:sz w:val="20"/>
        </w:rPr>
        <w:t>vacuum negative-pressure filling ensures tightness and anti-pulverization for longer service life.</w:t>
      </w:r>
    </w:p>
    <w:p w14:paraId="533674EE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Intelligent Energy Saving: </w:t>
      </w:r>
      <w:r>
        <w:rPr>
          <w:rFonts w:ascii="Arial" w:hAnsi="Arial" w:eastAsia="Arial"/>
          <w:b w:val="0"/>
          <w:i w:val="0"/>
          <w:color w:val="333333"/>
          <w:sz w:val="20"/>
        </w:rPr>
        <w:t>equipped with a PLC controller for real-time monitoring and data storage, integrating time, load and dew-point control for high energy efficiency.</w:t>
      </w:r>
    </w:p>
    <w:p w14:paraId="398612A2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Smart IoT Integration: </w:t>
      </w:r>
      <w:r>
        <w:rPr>
          <w:rFonts w:ascii="Arial" w:hAnsi="Arial" w:eastAsia="Arial"/>
          <w:b w:val="0"/>
          <w:i w:val="0"/>
          <w:color w:val="333333"/>
          <w:sz w:val="20"/>
        </w:rPr>
        <w:t>supports easy remote control, centralized management, intelligent analysis and prediction to optimize operation.</w:t>
      </w:r>
    </w:p>
    <w:p w14:paraId="7B030204">
      <w:pPr>
        <w:spacing w:after="80" w:line="300" w:lineRule="auto"/>
        <w:ind w:left="340" w:hanging="340"/>
      </w:pPr>
      <w:r>
        <w:rPr>
          <w:rFonts w:ascii="Arial" w:hAnsi="Arial" w:eastAsia="Arial"/>
          <w:b/>
          <w:i w:val="0"/>
          <w:color w:val="8BC34A"/>
          <w:sz w:val="18"/>
        </w:rPr>
        <w:t xml:space="preserve">■  </w:t>
      </w:r>
      <w:r>
        <w:rPr>
          <w:rFonts w:ascii="Arial" w:hAnsi="Arial" w:eastAsia="Arial"/>
          <w:b/>
          <w:i w:val="0"/>
          <w:color w:val="333333"/>
          <w:sz w:val="20"/>
        </w:rPr>
        <w:t xml:space="preserve">Stainless Steel Pneumatic Piping: </w:t>
      </w:r>
      <w:r>
        <w:rPr>
          <w:rFonts w:ascii="Arial" w:hAnsi="Arial" w:eastAsia="Arial"/>
          <w:b w:val="0"/>
          <w:i w:val="0"/>
          <w:color w:val="333333"/>
          <w:sz w:val="20"/>
        </w:rPr>
        <w:t>corrosion-resistant, durable and aesthetically pleasing.</w:t>
      </w:r>
    </w:p>
    <w:sectPr>
      <w:pgSz w:w="11906" w:h="16838"/>
      <w:pgMar w:top="1134" w:right="1247" w:bottom="1134" w:left="124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Birdrocker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irdrockers">
    <w:panose1 w:val="02000500000000000000"/>
    <w:charset w:val="00"/>
    <w:family w:val="auto"/>
    <w:pitch w:val="default"/>
    <w:sig w:usb0="00000003" w:usb1="10000000" w:usb2="00000000" w:usb3="00000000" w:csb0="00000001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yNTk4NmQ4NGI1NDNjZDUwZWU3YWM4YmU4NzIwMmQ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004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Arial" w:hAnsi="Arial" w:eastAsiaTheme="minorEastAsia" w:cstheme="minorBidi"/>
      <w:color w:val="333333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1374</Characters>
  <Lines>0</Lines>
  <Paragraphs>0</Paragraphs>
  <TotalTime>7</TotalTime>
  <ScaleCrop>false</ScaleCrop>
  <LinksUpToDate>false</LinksUpToDate>
  <CharactersWithSpaces>1612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Lesley</cp:lastModifiedBy>
  <dcterms:modified xsi:type="dcterms:W3CDTF">2026-09-23T07:56:44Z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4FB7D1BC943A4947A7A93D7EE6B5907D_12</vt:lpwstr>
  </property>
</Properties>
</file>