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8BC86">
      <w:pPr>
        <w:shd w:val="clear" w:fill="8BC34A"/>
        <w:spacing w:before="120" w:after="320"/>
        <w:ind w:left="113"/>
      </w:pPr>
      <w:r>
        <w:rPr>
          <w:rFonts w:ascii="Arial" w:hAnsi="Arial" w:eastAsia="Arial"/>
          <w:b/>
          <w:i w:val="0"/>
          <w:color w:val="FFFFFF"/>
          <w:sz w:val="34"/>
        </w:rPr>
        <w:t>GEN 6 SUPER COLD REFRIGERATED AIR DRYER</w:t>
      </w:r>
    </w:p>
    <w:p w14:paraId="4839E57F">
      <w:pPr>
        <w:spacing w:after="160"/>
      </w:pPr>
      <w:r>
        <w:rPr>
          <w:rFonts w:ascii="Arial" w:hAnsi="Arial" w:eastAsia="Arial"/>
          <w:b/>
          <w:i w:val="0"/>
          <w:color w:val="558B2F"/>
          <w:sz w:val="26"/>
        </w:rPr>
        <w:t>Technical Indicators</w:t>
      </w:r>
    </w:p>
    <w:tbl>
      <w:tblPr>
        <w:tblStyle w:val="32"/>
        <w:tblW w:w="0" w:type="auto"/>
        <w:jc w:val="center"/>
        <w:tblLayout w:type="fixed"/>
        <w:tblCellMar>
          <w:top w:w="0" w:type="dxa"/>
          <w:left w:w="108" w:type="dxa"/>
          <w:bottom w:w="0" w:type="dxa"/>
          <w:right w:w="108" w:type="dxa"/>
        </w:tblCellMar>
      </w:tblPr>
      <w:tblGrid>
        <w:gridCol w:w="4706"/>
        <w:gridCol w:w="4706"/>
      </w:tblGrid>
      <w:tr w14:paraId="2C018495">
        <w:tblPrEx>
          <w:tblCellMar>
            <w:top w:w="0" w:type="dxa"/>
            <w:left w:w="108" w:type="dxa"/>
            <w:bottom w:w="0" w:type="dxa"/>
            <w:right w:w="108" w:type="dxa"/>
          </w:tblCellMar>
        </w:tblPrEx>
        <w:trPr>
          <w:jc w:val="center"/>
        </w:trPr>
        <w:tc>
          <w:tcPr>
            <w:tcW w:w="3685" w:type="dxa"/>
            <w:tcBorders>
              <w:top w:val="single" w:color="C8DCA0" w:sz="4" w:space="0"/>
              <w:left w:val="single" w:color="C8DCA0" w:sz="4" w:space="0"/>
              <w:bottom w:val="single" w:color="C8DCA0" w:sz="4" w:space="0"/>
              <w:right w:val="single" w:color="C8DCA0" w:sz="4" w:space="0"/>
            </w:tcBorders>
            <w:shd w:val="clear" w:color="auto" w:fill="8BC34A"/>
            <w:tcMar>
              <w:top w:w="70" w:type="dxa"/>
              <w:left w:w="110" w:type="dxa"/>
              <w:bottom w:w="70" w:type="dxa"/>
              <w:right w:w="110" w:type="dxa"/>
            </w:tcMar>
            <w:vAlign w:val="center"/>
          </w:tcPr>
          <w:p w14:paraId="5B17E21F">
            <w:pPr>
              <w:spacing w:before="0" w:after="0"/>
            </w:pPr>
            <w:r>
              <w:rPr>
                <w:rFonts w:ascii="Arial" w:hAnsi="Arial" w:eastAsia="Arial"/>
                <w:b/>
                <w:i w:val="0"/>
                <w:color w:val="FFFFFF"/>
                <w:sz w:val="20"/>
              </w:rPr>
              <w:t>Inlet Temperature</w:t>
            </w:r>
          </w:p>
        </w:tc>
        <w:tc>
          <w:tcPr>
            <w:tcW w:w="5102" w:type="dxa"/>
            <w:tcBorders>
              <w:top w:val="single" w:color="C8DCA0" w:sz="4" w:space="0"/>
              <w:left w:val="single" w:color="C8DCA0" w:sz="4" w:space="0"/>
              <w:bottom w:val="single" w:color="C8DCA0" w:sz="4" w:space="0"/>
              <w:right w:val="single" w:color="C8DCA0" w:sz="4" w:space="0"/>
            </w:tcBorders>
            <w:shd w:val="clear" w:color="auto" w:fill="FFFFFF"/>
            <w:tcMar>
              <w:top w:w="70" w:type="dxa"/>
              <w:left w:w="110" w:type="dxa"/>
              <w:bottom w:w="70" w:type="dxa"/>
              <w:right w:w="110" w:type="dxa"/>
            </w:tcMar>
            <w:vAlign w:val="center"/>
          </w:tcPr>
          <w:p w14:paraId="14504699">
            <w:pPr>
              <w:spacing w:before="0" w:after="0"/>
            </w:pPr>
            <w:r>
              <w:rPr>
                <w:rFonts w:ascii="Arial" w:hAnsi="Arial" w:eastAsia="Arial"/>
                <w:b w:val="0"/>
                <w:i w:val="0"/>
                <w:color w:val="333333"/>
                <w:sz w:val="20"/>
              </w:rPr>
              <w:t>10 ~ 60 ℃</w:t>
            </w:r>
          </w:p>
        </w:tc>
      </w:tr>
      <w:tr w14:paraId="412705DA">
        <w:tblPrEx>
          <w:tblCellMar>
            <w:top w:w="0" w:type="dxa"/>
            <w:left w:w="108" w:type="dxa"/>
            <w:bottom w:w="0" w:type="dxa"/>
            <w:right w:w="108" w:type="dxa"/>
          </w:tblCellMar>
        </w:tblPrEx>
        <w:trPr>
          <w:jc w:val="center"/>
        </w:trPr>
        <w:tc>
          <w:tcPr>
            <w:tcW w:w="3685" w:type="dxa"/>
            <w:tcBorders>
              <w:top w:val="single" w:color="C8DCA0" w:sz="4" w:space="0"/>
              <w:left w:val="single" w:color="C8DCA0" w:sz="4" w:space="0"/>
              <w:bottom w:val="single" w:color="C8DCA0" w:sz="4" w:space="0"/>
              <w:right w:val="single" w:color="C8DCA0" w:sz="4" w:space="0"/>
            </w:tcBorders>
            <w:shd w:val="clear" w:color="auto" w:fill="8BC34A"/>
            <w:tcMar>
              <w:top w:w="70" w:type="dxa"/>
              <w:left w:w="110" w:type="dxa"/>
              <w:bottom w:w="70" w:type="dxa"/>
              <w:right w:w="110" w:type="dxa"/>
            </w:tcMar>
            <w:vAlign w:val="center"/>
          </w:tcPr>
          <w:p w14:paraId="0B8D583C">
            <w:pPr>
              <w:spacing w:before="0" w:after="0"/>
            </w:pPr>
            <w:r>
              <w:rPr>
                <w:rFonts w:ascii="Arial" w:hAnsi="Arial" w:eastAsia="Arial"/>
                <w:b/>
                <w:i w:val="0"/>
                <w:color w:val="FFFFFF"/>
                <w:sz w:val="20"/>
              </w:rPr>
              <w:t>Ambient Temp.</w:t>
            </w:r>
          </w:p>
        </w:tc>
        <w:tc>
          <w:tcPr>
            <w:tcW w:w="5102" w:type="dxa"/>
            <w:tcBorders>
              <w:top w:val="single" w:color="C8DCA0" w:sz="4" w:space="0"/>
              <w:left w:val="single" w:color="C8DCA0" w:sz="4" w:space="0"/>
              <w:bottom w:val="single" w:color="C8DCA0" w:sz="4" w:space="0"/>
              <w:right w:val="single" w:color="C8DCA0" w:sz="4" w:space="0"/>
            </w:tcBorders>
            <w:shd w:val="clear" w:color="auto" w:fill="F2F8E5"/>
            <w:tcMar>
              <w:top w:w="70" w:type="dxa"/>
              <w:left w:w="110" w:type="dxa"/>
              <w:bottom w:w="70" w:type="dxa"/>
              <w:right w:w="110" w:type="dxa"/>
            </w:tcMar>
            <w:vAlign w:val="center"/>
          </w:tcPr>
          <w:p w14:paraId="26658572">
            <w:pPr>
              <w:spacing w:before="0" w:after="0"/>
            </w:pPr>
            <w:r>
              <w:rPr>
                <w:rFonts w:ascii="Arial" w:hAnsi="Arial" w:eastAsia="Arial"/>
                <w:b w:val="0"/>
                <w:i w:val="0"/>
                <w:color w:val="333333"/>
                <w:sz w:val="20"/>
              </w:rPr>
              <w:t>2 ~ 45 ℃</w:t>
            </w:r>
          </w:p>
        </w:tc>
      </w:tr>
      <w:tr w14:paraId="2402A908">
        <w:tblPrEx>
          <w:tblCellMar>
            <w:top w:w="0" w:type="dxa"/>
            <w:left w:w="108" w:type="dxa"/>
            <w:bottom w:w="0" w:type="dxa"/>
            <w:right w:w="108" w:type="dxa"/>
          </w:tblCellMar>
        </w:tblPrEx>
        <w:trPr>
          <w:jc w:val="center"/>
        </w:trPr>
        <w:tc>
          <w:tcPr>
            <w:tcW w:w="3685" w:type="dxa"/>
            <w:tcBorders>
              <w:top w:val="single" w:color="C8DCA0" w:sz="4" w:space="0"/>
              <w:left w:val="single" w:color="C8DCA0" w:sz="4" w:space="0"/>
              <w:bottom w:val="single" w:color="C8DCA0" w:sz="4" w:space="0"/>
              <w:right w:val="single" w:color="C8DCA0" w:sz="4" w:space="0"/>
            </w:tcBorders>
            <w:shd w:val="clear" w:color="auto" w:fill="8BC34A"/>
            <w:tcMar>
              <w:top w:w="70" w:type="dxa"/>
              <w:left w:w="110" w:type="dxa"/>
              <w:bottom w:w="70" w:type="dxa"/>
              <w:right w:w="110" w:type="dxa"/>
            </w:tcMar>
            <w:vAlign w:val="center"/>
          </w:tcPr>
          <w:p w14:paraId="0209AC81">
            <w:pPr>
              <w:spacing w:before="0" w:after="0"/>
            </w:pPr>
            <w:r>
              <w:rPr>
                <w:rFonts w:ascii="Arial" w:hAnsi="Arial" w:eastAsia="Arial"/>
                <w:b/>
                <w:i w:val="0"/>
                <w:color w:val="FFFFFF"/>
                <w:sz w:val="20"/>
              </w:rPr>
              <w:t>Pressure Dew Point</w:t>
            </w:r>
          </w:p>
        </w:tc>
        <w:tc>
          <w:tcPr>
            <w:tcW w:w="5102" w:type="dxa"/>
            <w:tcBorders>
              <w:top w:val="single" w:color="C8DCA0" w:sz="4" w:space="0"/>
              <w:left w:val="single" w:color="C8DCA0" w:sz="4" w:space="0"/>
              <w:bottom w:val="single" w:color="C8DCA0" w:sz="4" w:space="0"/>
              <w:right w:val="single" w:color="C8DCA0" w:sz="4" w:space="0"/>
            </w:tcBorders>
            <w:shd w:val="clear" w:color="auto" w:fill="FFFFFF"/>
            <w:tcMar>
              <w:top w:w="70" w:type="dxa"/>
              <w:left w:w="110" w:type="dxa"/>
              <w:bottom w:w="70" w:type="dxa"/>
              <w:right w:w="110" w:type="dxa"/>
            </w:tcMar>
            <w:vAlign w:val="center"/>
          </w:tcPr>
          <w:p w14:paraId="4289CB6C">
            <w:pPr>
              <w:spacing w:before="0" w:after="0"/>
            </w:pPr>
            <w:r>
              <w:rPr>
                <w:rFonts w:ascii="Arial" w:hAnsi="Arial" w:eastAsia="Arial"/>
                <w:b w:val="0"/>
                <w:i w:val="0"/>
                <w:color w:val="333333"/>
                <w:sz w:val="20"/>
              </w:rPr>
              <w:t>2 ~ 7 ℃</w:t>
            </w:r>
          </w:p>
        </w:tc>
      </w:tr>
      <w:tr w14:paraId="6D7BA4EB">
        <w:tblPrEx>
          <w:tblCellMar>
            <w:top w:w="0" w:type="dxa"/>
            <w:left w:w="108" w:type="dxa"/>
            <w:bottom w:w="0" w:type="dxa"/>
            <w:right w:w="108" w:type="dxa"/>
          </w:tblCellMar>
        </w:tblPrEx>
        <w:trPr>
          <w:jc w:val="center"/>
        </w:trPr>
        <w:tc>
          <w:tcPr>
            <w:tcW w:w="3685" w:type="dxa"/>
            <w:tcBorders>
              <w:top w:val="single" w:color="C8DCA0" w:sz="4" w:space="0"/>
              <w:left w:val="single" w:color="C8DCA0" w:sz="4" w:space="0"/>
              <w:bottom w:val="single" w:color="C8DCA0" w:sz="4" w:space="0"/>
              <w:right w:val="single" w:color="C8DCA0" w:sz="4" w:space="0"/>
            </w:tcBorders>
            <w:shd w:val="clear" w:color="auto" w:fill="8BC34A"/>
            <w:tcMar>
              <w:top w:w="70" w:type="dxa"/>
              <w:left w:w="110" w:type="dxa"/>
              <w:bottom w:w="70" w:type="dxa"/>
              <w:right w:w="110" w:type="dxa"/>
            </w:tcMar>
            <w:vAlign w:val="center"/>
          </w:tcPr>
          <w:p w14:paraId="2D5E28D0">
            <w:pPr>
              <w:spacing w:before="0" w:after="0"/>
            </w:pPr>
            <w:r>
              <w:rPr>
                <w:rFonts w:ascii="Arial" w:hAnsi="Arial" w:eastAsia="Arial"/>
                <w:b/>
                <w:i w:val="0"/>
                <w:color w:val="FFFFFF"/>
                <w:sz w:val="20"/>
              </w:rPr>
              <w:t>Cooling</w:t>
            </w:r>
          </w:p>
        </w:tc>
        <w:tc>
          <w:tcPr>
            <w:tcW w:w="5102" w:type="dxa"/>
            <w:tcBorders>
              <w:top w:val="single" w:color="C8DCA0" w:sz="4" w:space="0"/>
              <w:left w:val="single" w:color="C8DCA0" w:sz="4" w:space="0"/>
              <w:bottom w:val="single" w:color="C8DCA0" w:sz="4" w:space="0"/>
              <w:right w:val="single" w:color="C8DCA0" w:sz="4" w:space="0"/>
            </w:tcBorders>
            <w:shd w:val="clear" w:color="auto" w:fill="F2F8E5"/>
            <w:tcMar>
              <w:top w:w="70" w:type="dxa"/>
              <w:left w:w="110" w:type="dxa"/>
              <w:bottom w:w="70" w:type="dxa"/>
              <w:right w:w="110" w:type="dxa"/>
            </w:tcMar>
            <w:vAlign w:val="center"/>
          </w:tcPr>
          <w:p w14:paraId="38045265">
            <w:pPr>
              <w:spacing w:before="0" w:after="0"/>
            </w:pPr>
            <w:r>
              <w:rPr>
                <w:rFonts w:ascii="Arial" w:hAnsi="Arial" w:eastAsia="Arial"/>
                <w:b w:val="0"/>
                <w:i w:val="0"/>
                <w:color w:val="333333"/>
                <w:sz w:val="20"/>
              </w:rPr>
              <w:t>Air Cooled</w:t>
            </w:r>
          </w:p>
        </w:tc>
      </w:tr>
      <w:tr w14:paraId="4A27F3FF">
        <w:tblPrEx>
          <w:tblCellMar>
            <w:top w:w="0" w:type="dxa"/>
            <w:left w:w="108" w:type="dxa"/>
            <w:bottom w:w="0" w:type="dxa"/>
            <w:right w:w="108" w:type="dxa"/>
          </w:tblCellMar>
        </w:tblPrEx>
        <w:trPr>
          <w:jc w:val="center"/>
        </w:trPr>
        <w:tc>
          <w:tcPr>
            <w:tcW w:w="3685" w:type="dxa"/>
            <w:tcBorders>
              <w:top w:val="single" w:color="C8DCA0" w:sz="4" w:space="0"/>
              <w:left w:val="single" w:color="C8DCA0" w:sz="4" w:space="0"/>
              <w:bottom w:val="single" w:color="C8DCA0" w:sz="4" w:space="0"/>
              <w:right w:val="single" w:color="C8DCA0" w:sz="4" w:space="0"/>
            </w:tcBorders>
            <w:shd w:val="clear" w:color="auto" w:fill="8BC34A"/>
            <w:tcMar>
              <w:top w:w="70" w:type="dxa"/>
              <w:left w:w="110" w:type="dxa"/>
              <w:bottom w:w="70" w:type="dxa"/>
              <w:right w:w="110" w:type="dxa"/>
            </w:tcMar>
            <w:vAlign w:val="center"/>
          </w:tcPr>
          <w:p w14:paraId="3D0A6544">
            <w:pPr>
              <w:spacing w:before="0" w:after="0"/>
            </w:pPr>
            <w:r>
              <w:rPr>
                <w:rFonts w:ascii="Arial" w:hAnsi="Arial" w:eastAsia="Arial"/>
                <w:b/>
                <w:i w:val="0"/>
                <w:color w:val="FFFFFF"/>
                <w:sz w:val="20"/>
              </w:rPr>
              <w:t>Working Pressure Range</w:t>
            </w:r>
          </w:p>
        </w:tc>
        <w:tc>
          <w:tcPr>
            <w:tcW w:w="5102" w:type="dxa"/>
            <w:tcBorders>
              <w:top w:val="single" w:color="C8DCA0" w:sz="4" w:space="0"/>
              <w:left w:val="single" w:color="C8DCA0" w:sz="4" w:space="0"/>
              <w:bottom w:val="single" w:color="C8DCA0" w:sz="4" w:space="0"/>
              <w:right w:val="single" w:color="C8DCA0" w:sz="4" w:space="0"/>
            </w:tcBorders>
            <w:shd w:val="clear" w:color="auto" w:fill="FFFFFF"/>
            <w:tcMar>
              <w:top w:w="70" w:type="dxa"/>
              <w:left w:w="110" w:type="dxa"/>
              <w:bottom w:w="70" w:type="dxa"/>
              <w:right w:w="110" w:type="dxa"/>
            </w:tcMar>
            <w:vAlign w:val="center"/>
          </w:tcPr>
          <w:p w14:paraId="4F89EF7B">
            <w:pPr>
              <w:spacing w:before="0" w:after="0"/>
            </w:pPr>
            <w:r>
              <w:rPr>
                <w:rFonts w:ascii="Arial" w:hAnsi="Arial" w:eastAsia="Arial"/>
                <w:b w:val="0"/>
                <w:i w:val="0"/>
                <w:color w:val="333333"/>
                <w:sz w:val="20"/>
              </w:rPr>
              <w:t>0.6 ~ 1.6 MPa</w:t>
            </w:r>
          </w:p>
        </w:tc>
      </w:tr>
    </w:tbl>
    <w:p w14:paraId="22F30CB8">
      <w:pPr>
        <w:spacing w:before="160"/>
      </w:pPr>
      <w:r>
        <w:rPr>
          <w:rFonts w:ascii="Arial" w:hAnsi="Arial" w:eastAsia="Arial"/>
          <w:b w:val="0"/>
          <w:i/>
          <w:color w:val="5A6B3A"/>
          <w:sz w:val="19"/>
        </w:rPr>
        <w:t>Note: Other special standards can be customized; more details please contact us.</w:t>
      </w:r>
    </w:p>
    <w:p w14:paraId="5F9052F4">
      <w:pPr>
        <w:spacing w:after="80"/>
      </w:pPr>
    </w:p>
    <w:p w14:paraId="5A25E410">
      <w:pPr>
        <w:spacing w:after="160"/>
      </w:pPr>
      <w:r>
        <w:rPr>
          <w:rFonts w:ascii="Arial" w:hAnsi="Arial" w:eastAsia="Arial"/>
          <w:b/>
          <w:i w:val="0"/>
          <w:color w:val="558B2F"/>
          <w:sz w:val="26"/>
        </w:rPr>
        <w:t>Product Features</w:t>
      </w:r>
    </w:p>
    <w:p w14:paraId="45D47D08">
      <w:pPr>
        <w:spacing w:after="120" w:line="312" w:lineRule="auto"/>
        <w:ind w:left="340" w:hanging="340"/>
      </w:pPr>
      <w:r>
        <w:rPr>
          <w:rFonts w:ascii="Arial" w:hAnsi="Arial" w:eastAsia="Arial"/>
          <w:b/>
          <w:i w:val="0"/>
          <w:color w:val="8BC34A"/>
          <w:sz w:val="18"/>
        </w:rPr>
        <w:t xml:space="preserve">■  </w:t>
      </w:r>
      <w:r>
        <w:rPr>
          <w:rFonts w:ascii="Arial" w:hAnsi="Arial" w:eastAsia="Arial"/>
          <w:b/>
          <w:i w:val="0"/>
          <w:color w:val="333333"/>
          <w:sz w:val="20"/>
        </w:rPr>
        <w:t xml:space="preserve">Three-in-one heat exchange system: </w:t>
      </w:r>
      <w:r>
        <w:rPr>
          <w:rFonts w:ascii="Arial" w:hAnsi="Arial" w:eastAsia="Arial"/>
          <w:b w:val="0"/>
          <w:i w:val="0"/>
          <w:color w:val="333333"/>
          <w:sz w:val="20"/>
        </w:rPr>
        <w:t>integrates ultra-fast pre-cooling, high-efficiency evaporation and a two-stage water separation module for efficient collaboration throughout the process, reducing energy consumption and enhancing drying efficiency. Made of corrosion-resistant aluminum alloy.</w:t>
      </w:r>
    </w:p>
    <w:p w14:paraId="6467D91A">
      <w:pPr>
        <w:spacing w:after="120" w:line="312" w:lineRule="auto"/>
        <w:ind w:left="340" w:hanging="340"/>
      </w:pPr>
      <w:r>
        <w:rPr>
          <w:rFonts w:ascii="Arial" w:hAnsi="Arial" w:eastAsia="Arial"/>
          <w:b/>
          <w:i w:val="0"/>
          <w:color w:val="8BC34A"/>
          <w:sz w:val="18"/>
        </w:rPr>
        <w:t xml:space="preserve">■  </w:t>
      </w:r>
      <w:r>
        <w:rPr>
          <w:rFonts w:ascii="Arial" w:hAnsi="Arial" w:eastAsia="Arial"/>
          <w:b/>
          <w:i w:val="0"/>
          <w:color w:val="333333"/>
          <w:sz w:val="20"/>
        </w:rPr>
        <w:t xml:space="preserve">Low pressure drop: </w:t>
      </w:r>
      <w:r>
        <w:rPr>
          <w:rFonts w:ascii="Arial" w:hAnsi="Arial" w:eastAsia="Arial"/>
          <w:b w:val="0"/>
          <w:i w:val="0"/>
          <w:color w:val="333333"/>
          <w:sz w:val="20"/>
        </w:rPr>
        <w:t>improves compressed air utilization, saving energy and reducing operating costs.</w:t>
      </w:r>
    </w:p>
    <w:p w14:paraId="171C1450">
      <w:pPr>
        <w:spacing w:after="120" w:line="312" w:lineRule="auto"/>
        <w:ind w:left="340" w:hanging="340"/>
      </w:pPr>
      <w:r>
        <w:rPr>
          <w:rFonts w:ascii="Arial" w:hAnsi="Arial" w:eastAsia="Arial"/>
          <w:b/>
          <w:i w:val="0"/>
          <w:color w:val="8BC34A"/>
          <w:sz w:val="18"/>
        </w:rPr>
        <w:t xml:space="preserve">■  </w:t>
      </w:r>
      <w:r>
        <w:rPr>
          <w:rFonts w:ascii="Arial" w:hAnsi="Arial" w:eastAsia="Arial"/>
          <w:b/>
          <w:i w:val="0"/>
          <w:color w:val="333333"/>
          <w:sz w:val="20"/>
        </w:rPr>
        <w:t xml:space="preserve">Eco-friendly efficient refrigerant: </w:t>
      </w:r>
      <w:r>
        <w:rPr>
          <w:rFonts w:ascii="Arial" w:hAnsi="Arial" w:eastAsia="Arial"/>
          <w:b w:val="0"/>
          <w:i w:val="0"/>
          <w:color w:val="333333"/>
          <w:sz w:val="20"/>
        </w:rPr>
        <w:t>standard R410A, optional R513A — higher cooling efficiency than R22 and environmentally friendly, non-ozone-depleting.</w:t>
      </w:r>
    </w:p>
    <w:p w14:paraId="23AB309A">
      <w:pPr>
        <w:spacing w:after="120" w:line="312" w:lineRule="auto"/>
        <w:ind w:left="340" w:hanging="340"/>
        <w:rPr>
          <w:rFonts w:ascii="Arial" w:hAnsi="Arial" w:eastAsia="Arial"/>
          <w:b w:val="0"/>
          <w:i w:val="0"/>
          <w:color w:val="333333"/>
          <w:sz w:val="20"/>
        </w:rPr>
      </w:pPr>
      <w:r>
        <w:rPr>
          <w:rFonts w:ascii="Arial" w:hAnsi="Arial" w:eastAsia="Arial"/>
          <w:b/>
          <w:i w:val="0"/>
          <w:color w:val="8BC34A"/>
          <w:sz w:val="18"/>
        </w:rPr>
        <w:t xml:space="preserve">■  </w:t>
      </w:r>
      <w:r>
        <w:rPr>
          <w:rFonts w:ascii="Arial" w:hAnsi="Arial" w:eastAsia="Arial"/>
          <w:b/>
          <w:i w:val="0"/>
          <w:color w:val="333333"/>
          <w:sz w:val="20"/>
        </w:rPr>
        <w:t xml:space="preserve">Intelligent hot gas bypass control: </w:t>
      </w:r>
      <w:r>
        <w:rPr>
          <w:rFonts w:ascii="Arial" w:hAnsi="Arial" w:eastAsia="Arial"/>
          <w:b w:val="0"/>
          <w:i w:val="0"/>
          <w:color w:val="333333"/>
          <w:sz w:val="20"/>
        </w:rPr>
        <w:t>optimizes cooling capacity utilization, reduces wasted energy, provides precise temperature control, maintains the dew point, prevents ice blockage and ensures stable operation.</w:t>
      </w:r>
    </w:p>
    <w:p w14:paraId="4EBF589D">
      <w:pPr>
        <w:spacing w:after="160"/>
        <w:rPr>
          <w:rFonts w:ascii="Arial" w:hAnsi="Arial" w:eastAsia="Arial"/>
          <w:b/>
          <w:i w:val="0"/>
          <w:color w:val="558B2F"/>
          <w:sz w:val="26"/>
        </w:rPr>
      </w:pPr>
    </w:p>
    <w:p w14:paraId="1DEF491E">
      <w:pPr>
        <w:spacing w:after="160"/>
        <w:rPr>
          <w:rFonts w:hint="eastAsia" w:ascii="Arial" w:hAnsi="Arial" w:eastAsia="Arial"/>
          <w:b/>
          <w:i w:val="0"/>
          <w:color w:val="558B2F"/>
          <w:sz w:val="26"/>
        </w:rPr>
      </w:pPr>
      <w:r>
        <w:rPr>
          <w:rFonts w:hint="eastAsia" w:ascii="Arial" w:hAnsi="Arial" w:eastAsia="Arial"/>
          <w:b/>
          <w:i w:val="0"/>
          <w:color w:val="558B2F"/>
          <w:sz w:val="26"/>
        </w:rPr>
        <w:t>Product Introduction</w:t>
      </w:r>
    </w:p>
    <w:p w14:paraId="11374004">
      <w:pPr>
        <w:spacing w:after="120" w:line="312" w:lineRule="auto"/>
        <w:rPr>
          <w:rFonts w:hint="eastAsia" w:ascii="Arial" w:hAnsi="Arial" w:eastAsia="Arial"/>
          <w:b w:val="0"/>
          <w:i w:val="0"/>
          <w:color w:val="333333"/>
          <w:sz w:val="20"/>
        </w:rPr>
      </w:pPr>
      <w:r>
        <w:rPr>
          <w:rFonts w:hint="eastAsia" w:ascii="Arial" w:hAnsi="Arial" w:eastAsia="Arial"/>
          <w:b w:val="0"/>
          <w:i w:val="0"/>
          <w:color w:val="333333"/>
          <w:sz w:val="20"/>
        </w:rPr>
        <w:t>Moisture is the failure that shows up somewhere else — a stuck valve, a blistered paint finish, a batch of parts rejected at inspection. The GEN 6 Super Cold sits directly after the compressor and after-cooler and removes that moisture before it ever reaches the ring main.</w:t>
      </w:r>
    </w:p>
    <w:p w14:paraId="6686A1E8">
      <w:pPr>
        <w:spacing w:after="120" w:line="312" w:lineRule="auto"/>
        <w:rPr>
          <w:rFonts w:hint="eastAsia" w:ascii="Arial" w:hAnsi="Arial" w:eastAsia="Arial"/>
          <w:b w:val="0"/>
          <w:i w:val="0"/>
          <w:color w:val="333333"/>
          <w:sz w:val="20"/>
        </w:rPr>
      </w:pPr>
    </w:p>
    <w:p w14:paraId="2630C72C">
      <w:pPr>
        <w:spacing w:after="120" w:line="312" w:lineRule="auto"/>
        <w:rPr>
          <w:rFonts w:hint="eastAsia" w:ascii="Arial" w:hAnsi="Arial" w:eastAsia="Arial"/>
          <w:b w:val="0"/>
          <w:i w:val="0"/>
          <w:color w:val="333333"/>
          <w:sz w:val="20"/>
        </w:rPr>
      </w:pPr>
      <w:r>
        <w:rPr>
          <w:rFonts w:hint="eastAsia" w:ascii="Arial" w:hAnsi="Arial" w:eastAsia="Arial"/>
          <w:b w:val="0"/>
          <w:i w:val="0"/>
          <w:color w:val="333333"/>
          <w:sz w:val="20"/>
        </w:rPr>
        <w:t>Air first enters the pre-cooling channel, where it is fully and quickly cooled at the entrance. The pre-cooled air then passes through the evaporation channel, where its heat is fully absorbed by the liquid refrigerant. The water condenses and is precipitated, while the refrigerant is completely vaporized back to the compressor suction port of the refrigeration system. The separated condensate then enters the two-stage water separation module, where coarse and fine separation stages remove it completely — ensuring maximum separation efficiency and a more stable dew point.</w:t>
      </w:r>
    </w:p>
    <w:p w14:paraId="7A381482">
      <w:pPr>
        <w:spacing w:after="120" w:line="312" w:lineRule="auto"/>
        <w:rPr>
          <w:rFonts w:hint="eastAsia" w:ascii="Arial" w:hAnsi="Arial" w:eastAsia="Arial"/>
          <w:b w:val="0"/>
          <w:i w:val="0"/>
          <w:color w:val="333333"/>
          <w:sz w:val="20"/>
        </w:rPr>
      </w:pPr>
    </w:p>
    <w:p w14:paraId="28319D5B">
      <w:pPr>
        <w:spacing w:after="120" w:line="312" w:lineRule="auto"/>
        <w:rPr>
          <w:rFonts w:hint="eastAsia" w:ascii="Arial" w:hAnsi="Arial" w:eastAsia="Arial"/>
          <w:b w:val="0"/>
          <w:i w:val="0"/>
          <w:color w:val="333333"/>
          <w:sz w:val="20"/>
        </w:rPr>
      </w:pPr>
      <w:r>
        <w:rPr>
          <w:rFonts w:hint="eastAsia" w:ascii="Arial" w:hAnsi="Arial" w:eastAsia="Arial"/>
          <w:b w:val="0"/>
          <w:i w:val="0"/>
          <w:color w:val="333333"/>
          <w:sz w:val="20"/>
        </w:rPr>
        <w:t>The three-in-one heat exchange system integrates ultra-fast pre-cooling, high-efficiency evaporation and two-stage water separation into one unit, working in coordination throughout the entire process to reduce energy consumption and enhance drying efficiency. Made of corrosion-resistant aluminum alloy, the unit delivers low pressure drop, higher compressed air utilization and lower operating costs.</w:t>
      </w:r>
    </w:p>
    <w:p w14:paraId="6839F692">
      <w:pPr>
        <w:spacing w:after="120" w:line="312" w:lineRule="auto"/>
        <w:rPr>
          <w:rFonts w:hint="eastAsia" w:ascii="Arial" w:hAnsi="Arial" w:eastAsia="Arial"/>
          <w:b w:val="0"/>
          <w:i w:val="0"/>
          <w:color w:val="333333"/>
          <w:sz w:val="20"/>
        </w:rPr>
      </w:pPr>
    </w:p>
    <w:p w14:paraId="5A46F41E">
      <w:pPr>
        <w:spacing w:after="120" w:line="312" w:lineRule="auto"/>
        <w:rPr>
          <w:rFonts w:hint="eastAsia" w:ascii="Arial" w:hAnsi="Arial" w:eastAsia="Arial"/>
          <w:b w:val="0"/>
          <w:i w:val="0"/>
          <w:color w:val="333333"/>
          <w:sz w:val="20"/>
        </w:rPr>
      </w:pPr>
      <w:r>
        <w:rPr>
          <w:rFonts w:hint="eastAsia" w:ascii="Arial" w:hAnsi="Arial" w:eastAsia="Arial"/>
          <w:b w:val="0"/>
          <w:i w:val="0"/>
          <w:color w:val="333333"/>
          <w:sz w:val="20"/>
        </w:rPr>
        <w:t>Every unit is pressure-tested and run for a full thermal cycle before it leaves the factory. Units are shipped ready to pipe in — no field charging, no commissioning specialist required.</w:t>
      </w:r>
    </w:p>
    <w:p w14:paraId="6B48705F">
      <w:pPr>
        <w:spacing w:after="160"/>
        <w:rPr>
          <w:rFonts w:hint="eastAsia" w:ascii="Arial" w:hAnsi="Arial" w:eastAsia="Arial"/>
          <w:b/>
          <w:i w:val="0"/>
          <w:color w:val="558B2F"/>
          <w:sz w:val="26"/>
        </w:rPr>
      </w:pPr>
    </w:p>
    <w:p w14:paraId="4E645F23">
      <w:pPr>
        <w:spacing w:after="160"/>
        <w:rPr>
          <w:rFonts w:hint="eastAsia" w:ascii="Arial" w:hAnsi="Arial" w:eastAsia="Arial"/>
          <w:b/>
          <w:i w:val="0"/>
          <w:color w:val="558B2F"/>
          <w:sz w:val="26"/>
        </w:rPr>
      </w:pPr>
      <w:r>
        <w:rPr>
          <w:rFonts w:hint="eastAsia" w:ascii="Arial" w:hAnsi="Arial" w:eastAsia="Arial"/>
          <w:b/>
          <w:i w:val="0"/>
          <w:color w:val="558B2F"/>
          <w:sz w:val="26"/>
        </w:rPr>
        <w:t>Where it is specified</w:t>
      </w:r>
      <w:bookmarkStart w:id="0" w:name="_GoBack"/>
      <w:bookmarkEnd w:id="0"/>
    </w:p>
    <w:p w14:paraId="389A86E0">
      <w:pPr>
        <w:spacing w:after="120" w:line="312" w:lineRule="auto"/>
        <w:rPr>
          <w:rFonts w:hint="eastAsia" w:ascii="Arial" w:hAnsi="Arial" w:eastAsia="Arial"/>
          <w:b w:val="0"/>
          <w:i w:val="0"/>
          <w:color w:val="333333"/>
          <w:sz w:val="20"/>
        </w:rPr>
      </w:pPr>
      <w:r>
        <w:rPr>
          <w:rFonts w:hint="eastAsia" w:ascii="Arial" w:hAnsi="Arial" w:eastAsia="Arial"/>
          <w:b w:val="0"/>
          <w:i w:val="0"/>
          <w:color w:val="333333"/>
          <w:sz w:val="20"/>
        </w:rPr>
        <w:t>Typical duties for this series across our installed base.</w:t>
      </w:r>
    </w:p>
    <w:p w14:paraId="0C1162BB">
      <w:pPr>
        <w:spacing w:after="120" w:line="312" w:lineRule="auto"/>
        <w:rPr>
          <w:rFonts w:hint="eastAsia" w:ascii="Arial" w:hAnsi="Arial" w:eastAsia="Arial"/>
          <w:b w:val="0"/>
          <w:i w:val="0"/>
          <w:color w:val="333333"/>
          <w:sz w:val="20"/>
        </w:rPr>
      </w:pPr>
      <w:r>
        <w:rPr>
          <w:rFonts w:hint="eastAsia" w:ascii="Arial" w:hAnsi="Arial" w:eastAsia="Arial"/>
          <w:b w:val="0"/>
          <w:i w:val="0"/>
          <w:color w:val="333333"/>
          <w:sz w:val="20"/>
        </w:rPr>
        <w:t>Automotive paint and assembly lines</w:t>
      </w:r>
    </w:p>
    <w:p w14:paraId="2DF680EE">
      <w:pPr>
        <w:spacing w:after="120" w:line="312" w:lineRule="auto"/>
        <w:rPr>
          <w:rFonts w:hint="eastAsia" w:ascii="Arial" w:hAnsi="Arial" w:eastAsia="Arial"/>
          <w:b w:val="0"/>
          <w:i w:val="0"/>
          <w:color w:val="333333"/>
          <w:sz w:val="20"/>
        </w:rPr>
      </w:pPr>
      <w:r>
        <w:rPr>
          <w:rFonts w:hint="eastAsia" w:ascii="Arial" w:hAnsi="Arial" w:eastAsia="Arial"/>
          <w:b w:val="0"/>
          <w:i w:val="0"/>
          <w:color w:val="333333"/>
          <w:sz w:val="20"/>
        </w:rPr>
        <w:t>Electronics and PCB assembly</w:t>
      </w:r>
    </w:p>
    <w:p w14:paraId="3AA10ACC">
      <w:pPr>
        <w:spacing w:after="120" w:line="312" w:lineRule="auto"/>
        <w:rPr>
          <w:rFonts w:hint="eastAsia" w:ascii="Arial" w:hAnsi="Arial" w:eastAsia="Arial"/>
          <w:b w:val="0"/>
          <w:i w:val="0"/>
          <w:color w:val="333333"/>
          <w:sz w:val="20"/>
        </w:rPr>
      </w:pPr>
      <w:r>
        <w:rPr>
          <w:rFonts w:hint="eastAsia" w:ascii="Arial" w:hAnsi="Arial" w:eastAsia="Arial"/>
          <w:b w:val="0"/>
          <w:i w:val="0"/>
          <w:color w:val="333333"/>
          <w:sz w:val="20"/>
        </w:rPr>
        <w:t>Food packaging and filling</w:t>
      </w:r>
    </w:p>
    <w:p w14:paraId="194CE091">
      <w:pPr>
        <w:spacing w:after="120" w:line="312" w:lineRule="auto"/>
        <w:rPr>
          <w:rFonts w:hint="eastAsia" w:ascii="Arial" w:hAnsi="Arial" w:eastAsia="Arial"/>
          <w:b w:val="0"/>
          <w:i w:val="0"/>
          <w:color w:val="333333"/>
          <w:sz w:val="20"/>
        </w:rPr>
      </w:pPr>
      <w:r>
        <w:rPr>
          <w:rFonts w:hint="eastAsia" w:ascii="Arial" w:hAnsi="Arial" w:eastAsia="Arial"/>
          <w:b w:val="0"/>
          <w:i w:val="0"/>
          <w:color w:val="333333"/>
          <w:sz w:val="20"/>
        </w:rPr>
        <w:t>Textile air-jet weaving</w:t>
      </w:r>
    </w:p>
    <w:p w14:paraId="25185D4B">
      <w:pPr>
        <w:spacing w:after="120" w:line="312" w:lineRule="auto"/>
        <w:rPr>
          <w:rFonts w:hint="eastAsia" w:ascii="Arial" w:hAnsi="Arial" w:eastAsia="Arial"/>
          <w:b w:val="0"/>
          <w:i w:val="0"/>
          <w:color w:val="333333"/>
          <w:sz w:val="20"/>
        </w:rPr>
      </w:pPr>
      <w:r>
        <w:rPr>
          <w:rFonts w:hint="eastAsia" w:ascii="Arial" w:hAnsi="Arial" w:eastAsia="Arial"/>
          <w:b w:val="0"/>
          <w:i w:val="0"/>
          <w:color w:val="333333"/>
          <w:sz w:val="20"/>
        </w:rPr>
        <w:t>Machine shops and laser cutting</w:t>
      </w:r>
    </w:p>
    <w:p w14:paraId="41B1E1F8">
      <w:pPr>
        <w:spacing w:after="120" w:line="312" w:lineRule="auto"/>
        <w:rPr>
          <w:rFonts w:ascii="Arial" w:hAnsi="Arial" w:eastAsia="Arial"/>
          <w:b w:val="0"/>
          <w:i w:val="0"/>
          <w:color w:val="333333"/>
          <w:sz w:val="20"/>
        </w:rPr>
      </w:pPr>
      <w:r>
        <w:rPr>
          <w:rFonts w:hint="eastAsia" w:ascii="Arial" w:hAnsi="Arial" w:eastAsia="Arial"/>
          <w:b w:val="0"/>
          <w:i w:val="0"/>
          <w:color w:val="333333"/>
          <w:sz w:val="20"/>
        </w:rPr>
        <w:t>Pre-treatment ahead of N₂ generation</w:t>
      </w:r>
    </w:p>
    <w:sectPr>
      <w:pgSz w:w="11906" w:h="16838"/>
      <w:pgMar w:top="1134" w:right="1247" w:bottom="1134"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ＭＳ 明朝">
    <w:altName w:val="Birdrockers"/>
    <w:panose1 w:val="00000000000000000000"/>
    <w:charset w:val="00"/>
    <w:family w:val="auto"/>
    <w:pitch w:val="default"/>
    <w:sig w:usb0="00000000" w:usb1="00000000" w:usb2="00000000" w:usb3="00000000" w:csb0="00000000" w:csb1="00000000"/>
  </w:font>
  <w:font w:name="Birdrockers">
    <w:panose1 w:val="02000500000000000000"/>
    <w:charset w:val="00"/>
    <w:family w:val="auto"/>
    <w:pitch w:val="default"/>
    <w:sig w:usb0="00000003" w:usb1="10000000" w:usb2="00000000" w:usb3="00000000" w:csb0="00000001" w:csb1="0000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yNTk4NmQ4NGI1NDNjZDUwZWU3YWM4YmU4NzIwMmQifQ=="/>
  </w:docVars>
  <w:rsids>
    <w:rsidRoot w:val="00B47730"/>
    <w:rsid w:val="00034616"/>
    <w:rsid w:val="0006063C"/>
    <w:rsid w:val="0015074B"/>
    <w:rsid w:val="0029639D"/>
    <w:rsid w:val="00326F90"/>
    <w:rsid w:val="00AA1D8D"/>
    <w:rsid w:val="00B47730"/>
    <w:rsid w:val="00CB0664"/>
    <w:rsid w:val="00FC693F"/>
    <w:rsid w:val="442807BE"/>
    <w:rsid w:val="4CF0274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qFormat="1"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qFormat="1"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76" w:lineRule="auto"/>
    </w:pPr>
    <w:rPr>
      <w:rFonts w:ascii="Arial" w:hAnsi="Arial" w:eastAsiaTheme="minorEastAsia" w:cstheme="minorBidi"/>
      <w:color w:val="333333"/>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403</Words>
  <Characters>2391</Characters>
  <Lines>0</Lines>
  <Paragraphs>0</Paragraphs>
  <TotalTime>216</TotalTime>
  <ScaleCrop>false</ScaleCrop>
  <LinksUpToDate>false</LinksUpToDate>
  <CharactersWithSpaces>2767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lesley</cp:lastModifiedBy>
  <dcterms:modified xsi:type="dcterms:W3CDTF">2026-09-29T10:55:35Z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A79E8EF6D03C4CD291E56E613A3BC60A_12</vt:lpwstr>
  </property>
</Properties>
</file>