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481E2">
      <w:pPr>
        <w:spacing w:after="280"/>
        <w:rPr>
          <w:rFonts w:ascii="Arial" w:hAnsi="Arial" w:eastAsia="Arial"/>
          <w:b/>
          <w:color w:val="558B2F"/>
          <w:sz w:val="40"/>
        </w:rPr>
      </w:pPr>
      <w:r>
        <w:rPr>
          <w:rFonts w:ascii="Arial" w:hAnsi="Arial" w:eastAsia="Arial"/>
          <w:b/>
          <w:color w:val="558B2F"/>
          <w:sz w:val="40"/>
        </w:rPr>
        <w:t>TWIN TOWER NITROGEN GENERATOR</w:t>
      </w:r>
    </w:p>
    <w:p w14:paraId="5650ED05">
      <w:pPr>
        <w:spacing w:after="280"/>
        <w:rPr>
          <w:rFonts w:hint="eastAsia" w:eastAsia="宋体"/>
          <w:b/>
          <w:color w:val="558B2F"/>
          <w:sz w:val="32"/>
          <w:szCs w:val="32"/>
          <w:lang w:val="en-US" w:eastAsia="zh-CN"/>
        </w:rPr>
      </w:pPr>
      <w:r>
        <w:rPr>
          <w:rFonts w:hint="eastAsia" w:eastAsia="宋体"/>
          <w:b/>
          <w:color w:val="558B2F"/>
          <w:sz w:val="32"/>
          <w:szCs w:val="32"/>
          <w:lang w:val="en-US" w:eastAsia="zh-CN"/>
        </w:rPr>
        <w:t>Introduction</w:t>
      </w:r>
    </w:p>
    <w:p w14:paraId="61D4AE09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Twin Tower Nitrogen Generator adopts an advanced energy-saving inequality equalization structure, improving adsorbent utilization and directly reducing compressed air consumption. Its optimized internal structure distributes air flow evenly, reducing impact on the adsorbent and extending service life.</w:t>
      </w:r>
    </w:p>
    <w:p w14:paraId="25B92348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Working with well-known carbon molecular sieve manufacturers, the most efficient ratio can be selected according to actual conditions, while reliable air source treatment accessories ensure stable operation. The integrated filling process — combining vacuum automatic feeding, blizzard filling an</w:t>
      </w:r>
      <w:bookmarkStart w:id="0" w:name="_GoBack"/>
      <w:bookmarkEnd w:id="0"/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d vibration — achieves denser packing, increasing filling weight by over 10% for the same volume.</w:t>
      </w:r>
    </w:p>
    <w:p w14:paraId="7133C91A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unit features domestic stainless steel pneumatic angle seat valves with fast response, low energy consumption, good sealing and long service life, plus a spring compression device that automatically compensates for molecular sieve reduction to prevent powdering. Impure nitrogen automatic / manual evacuation (optional) and components from famous brands ensure stable operation and nitrogen quality.</w:t>
      </w:r>
    </w:p>
    <w:p w14:paraId="328D0973">
      <w:pPr>
        <w:spacing w:after="280"/>
        <w:rPr>
          <w:rFonts w:hint="default" w:eastAsia="宋体"/>
          <w:b/>
          <w:color w:val="558B2F"/>
          <w:sz w:val="40"/>
          <w:lang w:val="en-US" w:eastAsia="zh-CN"/>
        </w:rPr>
      </w:pP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6"/>
        <w:gridCol w:w="4706"/>
      </w:tblGrid>
      <w:tr w14:paraId="3C88A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475B0F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Nitrogen Purity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D47D03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95-99.999%</w:t>
            </w:r>
          </w:p>
        </w:tc>
      </w:tr>
      <w:tr w14:paraId="44914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60CB5A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Max. Intake Air Temp.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A2DFCC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38 ℃</w:t>
            </w:r>
          </w:p>
        </w:tc>
      </w:tr>
      <w:tr w14:paraId="43CA6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ED1BA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Min. Intake Air Temp.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2FFCA1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1 ℃</w:t>
            </w:r>
          </w:p>
        </w:tc>
      </w:tr>
      <w:tr w14:paraId="40AC9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A398B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Inlet Pressure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FF8BF4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0.6-0.8 MPa</w:t>
            </w:r>
          </w:p>
        </w:tc>
      </w:tr>
      <w:tr w14:paraId="62881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978470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Max. Ambient Temp.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A80E46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≤ 45 ℃</w:t>
            </w:r>
          </w:p>
        </w:tc>
      </w:tr>
      <w:tr w14:paraId="7D8F2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D1F0A9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Power Requirements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68743D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220V 50/60Hz / 110V DC24V</w:t>
            </w:r>
          </w:p>
        </w:tc>
      </w:tr>
      <w:tr w14:paraId="388A3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0AFA1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Noise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7172B8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≤ 80 dB</w:t>
            </w:r>
          </w:p>
        </w:tc>
      </w:tr>
      <w:tr w14:paraId="6DFA2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5FCD0A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Nitrogen Dew Point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D26EF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≤ -40 ℃</w:t>
            </w:r>
          </w:p>
        </w:tc>
      </w:tr>
      <w:tr w14:paraId="39D4C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7CB7FF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Control Type (Standard)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AFF7B5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PLC programmable control</w:t>
            </w:r>
          </w:p>
        </w:tc>
      </w:tr>
      <w:tr w14:paraId="250D8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644614">
            <w:pPr>
              <w:spacing w:before="0"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Control Type (High Match)</w:t>
            </w:r>
          </w:p>
        </w:tc>
        <w:tc>
          <w:tcPr>
            <w:tcW w:w="5329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EA9480">
            <w:pPr>
              <w:spacing w:before="0" w:after="0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Human-machine touch interface</w:t>
            </w:r>
          </w:p>
        </w:tc>
      </w:tr>
    </w:tbl>
    <w:p w14:paraId="46354AE2">
      <w:pPr>
        <w:spacing w:after="160"/>
      </w:pPr>
    </w:p>
    <w:p w14:paraId="50E2CC22">
      <w:pPr>
        <w:spacing w:before="120" w:after="160"/>
      </w:pPr>
      <w:r>
        <w:rPr>
          <w:rFonts w:ascii="Arial" w:hAnsi="Arial" w:eastAsia="Arial"/>
          <w:b/>
          <w:color w:val="558B2F"/>
          <w:sz w:val="26"/>
        </w:rPr>
        <w:t>Features</w:t>
      </w:r>
    </w:p>
    <w:p w14:paraId="1B898835">
      <w:pPr>
        <w:spacing w:after="120" w:line="312" w:lineRule="auto"/>
        <w:ind w:left="340" w:hanging="340"/>
      </w:pPr>
      <w:r>
        <w:rPr>
          <w:rFonts w:ascii="Arial" w:hAnsi="Arial" w:eastAsia="Arial"/>
          <w:b/>
          <w:color w:val="8BC34A"/>
          <w:sz w:val="21"/>
        </w:rPr>
        <w:t xml:space="preserve">◆  </w:t>
      </w:r>
      <w:r>
        <w:rPr>
          <w:rFonts w:ascii="Arial" w:hAnsi="Arial" w:eastAsia="Arial"/>
          <w:b/>
          <w:color w:val="333333"/>
          <w:sz w:val="21"/>
        </w:rPr>
        <w:t xml:space="preserve">Energy-saving equalization structure: </w:t>
      </w:r>
      <w:r>
        <w:rPr>
          <w:rFonts w:ascii="Arial" w:hAnsi="Arial" w:eastAsia="Arial"/>
          <w:b w:val="0"/>
          <w:color w:val="333333"/>
          <w:sz w:val="21"/>
        </w:rPr>
        <w:t>advanced structure improves adsorbent utilization and directly reduces compressed air consumption.</w:t>
      </w:r>
    </w:p>
    <w:p w14:paraId="5F220C7C">
      <w:pPr>
        <w:spacing w:after="120" w:line="312" w:lineRule="auto"/>
        <w:ind w:left="340" w:hanging="340"/>
      </w:pPr>
      <w:r>
        <w:rPr>
          <w:rFonts w:ascii="Arial" w:hAnsi="Arial" w:eastAsia="Arial"/>
          <w:b/>
          <w:color w:val="8BC34A"/>
          <w:sz w:val="21"/>
        </w:rPr>
        <w:t xml:space="preserve">◆  </w:t>
      </w:r>
      <w:r>
        <w:rPr>
          <w:rFonts w:ascii="Arial" w:hAnsi="Arial" w:eastAsia="Arial"/>
          <w:b/>
          <w:color w:val="333333"/>
          <w:sz w:val="21"/>
        </w:rPr>
        <w:t xml:space="preserve">Optimized internal structure: </w:t>
      </w:r>
      <w:r>
        <w:rPr>
          <w:rFonts w:ascii="Arial" w:hAnsi="Arial" w:eastAsia="Arial"/>
          <w:b w:val="0"/>
          <w:color w:val="333333"/>
          <w:sz w:val="21"/>
        </w:rPr>
        <w:t>ensures evenly distributed air flow, reduces impact on the adsorbent and extends its service life.</w:t>
      </w:r>
    </w:p>
    <w:p w14:paraId="4C386D24">
      <w:pPr>
        <w:spacing w:after="120" w:line="312" w:lineRule="auto"/>
        <w:ind w:left="340" w:hanging="340"/>
      </w:pPr>
      <w:r>
        <w:rPr>
          <w:rFonts w:ascii="Arial" w:hAnsi="Arial" w:eastAsia="Arial"/>
          <w:b/>
          <w:color w:val="8BC34A"/>
          <w:sz w:val="21"/>
        </w:rPr>
        <w:t xml:space="preserve">◆  </w:t>
      </w:r>
      <w:r>
        <w:rPr>
          <w:rFonts w:ascii="Arial" w:hAnsi="Arial" w:eastAsia="Arial"/>
          <w:b/>
          <w:color w:val="333333"/>
          <w:sz w:val="21"/>
        </w:rPr>
        <w:t xml:space="preserve">Quality molecular sieve: </w:t>
      </w:r>
      <w:r>
        <w:rPr>
          <w:rFonts w:ascii="Arial" w:hAnsi="Arial" w:eastAsia="Arial"/>
          <w:b w:val="0"/>
          <w:color w:val="333333"/>
          <w:sz w:val="21"/>
        </w:rPr>
        <w:t>cooperates with well-known carbon molecular sieve manufacturers at home and abroad to select the most energy-efficient ratio according to actual working conditions.</w:t>
      </w:r>
    </w:p>
    <w:p w14:paraId="27FBD38A">
      <w:pPr>
        <w:spacing w:after="120" w:line="312" w:lineRule="auto"/>
        <w:ind w:left="340" w:hanging="340"/>
      </w:pPr>
      <w:r>
        <w:rPr>
          <w:rFonts w:ascii="Arial" w:hAnsi="Arial" w:eastAsia="Arial"/>
          <w:b/>
          <w:color w:val="8BC34A"/>
          <w:sz w:val="21"/>
        </w:rPr>
        <w:t xml:space="preserve">◆  </w:t>
      </w:r>
      <w:r>
        <w:rPr>
          <w:rFonts w:ascii="Arial" w:hAnsi="Arial" w:eastAsia="Arial"/>
          <w:b/>
          <w:color w:val="333333"/>
          <w:sz w:val="21"/>
        </w:rPr>
        <w:t xml:space="preserve">Reliable air-source treatment: </w:t>
      </w:r>
      <w:r>
        <w:rPr>
          <w:rFonts w:ascii="Arial" w:hAnsi="Arial" w:eastAsia="Arial"/>
          <w:b w:val="0"/>
          <w:color w:val="333333"/>
          <w:sz w:val="21"/>
        </w:rPr>
        <w:t>quality accessories ensure stable operation and long service life of the equipment.</w:t>
      </w:r>
    </w:p>
    <w:p w14:paraId="591B66A8">
      <w:pPr>
        <w:spacing w:after="120" w:line="312" w:lineRule="auto"/>
        <w:ind w:left="340" w:hanging="340"/>
      </w:pPr>
      <w:r>
        <w:rPr>
          <w:rFonts w:ascii="Arial" w:hAnsi="Arial" w:eastAsia="Arial"/>
          <w:b/>
          <w:color w:val="8BC34A"/>
          <w:sz w:val="21"/>
        </w:rPr>
        <w:t xml:space="preserve">◆  </w:t>
      </w:r>
      <w:r>
        <w:rPr>
          <w:rFonts w:ascii="Arial" w:hAnsi="Arial" w:eastAsia="Arial"/>
          <w:b/>
          <w:color w:val="333333"/>
          <w:sz w:val="21"/>
        </w:rPr>
        <w:t xml:space="preserve">Integrated filling process: </w:t>
      </w:r>
      <w:r>
        <w:rPr>
          <w:rFonts w:ascii="Arial" w:hAnsi="Arial" w:eastAsia="Arial"/>
          <w:b w:val="0"/>
          <w:color w:val="333333"/>
          <w:sz w:val="21"/>
        </w:rPr>
        <w:t>vacuum automatic feeding, blizzard filling and vibration platform together ensure uniform and dense packing; for the same volume the filling weight increases by over 10%, enhancing long-term reliability.</w:t>
      </w:r>
    </w:p>
    <w:p w14:paraId="34713FA1">
      <w:pPr>
        <w:spacing w:after="120" w:line="312" w:lineRule="auto"/>
        <w:ind w:left="340" w:hanging="340"/>
      </w:pPr>
      <w:r>
        <w:rPr>
          <w:rFonts w:ascii="Arial" w:hAnsi="Arial" w:eastAsia="Arial"/>
          <w:b/>
          <w:color w:val="8BC34A"/>
          <w:sz w:val="21"/>
        </w:rPr>
        <w:t xml:space="preserve">◆  </w:t>
      </w:r>
      <w:r>
        <w:rPr>
          <w:rFonts w:ascii="Arial" w:hAnsi="Arial" w:eastAsia="Arial"/>
          <w:b/>
          <w:color w:val="333333"/>
          <w:sz w:val="21"/>
        </w:rPr>
        <w:t xml:space="preserve">Stainless steel pneumatic angle seat valve: </w:t>
      </w:r>
      <w:r>
        <w:rPr>
          <w:rFonts w:ascii="Arial" w:hAnsi="Arial" w:eastAsia="Arial"/>
          <w:b w:val="0"/>
          <w:color w:val="333333"/>
          <w:sz w:val="21"/>
        </w:rPr>
        <w:t>fast opening/closing, low energy consumption, good sealing, easy installation and maintenance, long service life.</w:t>
      </w:r>
    </w:p>
    <w:p w14:paraId="7BC5F4C0">
      <w:pPr>
        <w:spacing w:after="120" w:line="312" w:lineRule="auto"/>
        <w:ind w:left="340" w:hanging="340"/>
      </w:pPr>
      <w:r>
        <w:rPr>
          <w:rFonts w:ascii="Arial" w:hAnsi="Arial" w:eastAsia="Arial"/>
          <w:b/>
          <w:color w:val="8BC34A"/>
          <w:sz w:val="21"/>
        </w:rPr>
        <w:t xml:space="preserve">◆  </w:t>
      </w:r>
      <w:r>
        <w:rPr>
          <w:rFonts w:ascii="Arial" w:hAnsi="Arial" w:eastAsia="Arial"/>
          <w:b/>
          <w:color w:val="333333"/>
          <w:sz w:val="21"/>
        </w:rPr>
        <w:t xml:space="preserve">Spring compression device: </w:t>
      </w:r>
      <w:r>
        <w:rPr>
          <w:rFonts w:ascii="Arial" w:hAnsi="Arial" w:eastAsia="Arial"/>
          <w:b w:val="0"/>
          <w:color w:val="333333"/>
          <w:sz w:val="21"/>
        </w:rPr>
        <w:t>automatically compensates when the molecular sieve settles, eliminating powdering and prolonging service life.</w:t>
      </w:r>
    </w:p>
    <w:p w14:paraId="673D1D22">
      <w:pPr>
        <w:spacing w:after="120" w:line="312" w:lineRule="auto"/>
        <w:ind w:left="340" w:hanging="340"/>
      </w:pPr>
      <w:r>
        <w:rPr>
          <w:rFonts w:ascii="Arial" w:hAnsi="Arial" w:eastAsia="Arial"/>
          <w:b/>
          <w:color w:val="8BC34A"/>
          <w:sz w:val="21"/>
        </w:rPr>
        <w:t xml:space="preserve">◆  </w:t>
      </w:r>
      <w:r>
        <w:rPr>
          <w:rFonts w:ascii="Arial" w:hAnsi="Arial" w:eastAsia="Arial"/>
          <w:b/>
          <w:color w:val="333333"/>
          <w:sz w:val="21"/>
        </w:rPr>
        <w:t xml:space="preserve">Impure nitrogen evacuation: </w:t>
      </w:r>
      <w:r>
        <w:rPr>
          <w:rFonts w:ascii="Arial" w:hAnsi="Arial" w:eastAsia="Arial"/>
          <w:b w:val="0"/>
          <w:color w:val="333333"/>
          <w:sz w:val="21"/>
        </w:rPr>
        <w:t>automatic / manual evacuation device (optional).</w:t>
      </w:r>
    </w:p>
    <w:p w14:paraId="28C9E965">
      <w:pPr>
        <w:spacing w:after="120" w:line="312" w:lineRule="auto"/>
        <w:ind w:left="340" w:hanging="340"/>
      </w:pPr>
      <w:r>
        <w:rPr>
          <w:rFonts w:ascii="Arial" w:hAnsi="Arial" w:eastAsia="Arial"/>
          <w:b/>
          <w:color w:val="8BC34A"/>
          <w:sz w:val="21"/>
        </w:rPr>
        <w:t xml:space="preserve">◆  </w:t>
      </w:r>
      <w:r>
        <w:rPr>
          <w:rFonts w:ascii="Arial" w:hAnsi="Arial" w:eastAsia="Arial"/>
          <w:b/>
          <w:color w:val="333333"/>
          <w:sz w:val="21"/>
        </w:rPr>
        <w:t xml:space="preserve">Brand-name components: </w:t>
      </w:r>
      <w:r>
        <w:rPr>
          <w:rFonts w:ascii="Arial" w:hAnsi="Arial" w:eastAsia="Arial"/>
          <w:b w:val="0"/>
          <w:color w:val="333333"/>
          <w:sz w:val="21"/>
        </w:rPr>
        <w:t>components from famous domestic and international brands ensure stable operation and nitrogen quality.</w:t>
      </w:r>
    </w:p>
    <w:sectPr>
      <w:pgSz w:w="11906" w:h="16838"/>
      <w:pgMar w:top="1134" w:right="1247" w:bottom="1134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Birdrocker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irdrockers">
    <w:panose1 w:val="02000500000000000000"/>
    <w:charset w:val="00"/>
    <w:family w:val="auto"/>
    <w:pitch w:val="default"/>
    <w:sig w:usb0="00000003" w:usb1="1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NTk4NmQ4NGI1NDNjZDUwZWU3YWM4YmU4NzIwMmQ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D98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Arial" w:hAnsi="Arial" w:eastAsiaTheme="minorEastAsia" w:cstheme="minorBidi"/>
      <w:color w:val="333333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rPr>
      <w:sz w:val="24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uiPriority w:val="99"/>
  </w:style>
  <w:style w:type="character" w:customStyle="1" w:styleId="137">
    <w:name w:val="Footer Char"/>
    <w:basedOn w:val="133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232</Words>
  <Characters>1451</Characters>
  <Lines>0</Lines>
  <Paragraphs>0</Paragraphs>
  <TotalTime>2</TotalTime>
  <ScaleCrop>false</ScaleCrop>
  <LinksUpToDate>false</LinksUpToDate>
  <CharactersWithSpaces>1661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Lesley</cp:lastModifiedBy>
  <dcterms:modified xsi:type="dcterms:W3CDTF">2026-09-23T09:20:29Z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DD344E0E3AC946A79CF5E38CE180A349_12</vt:lpwstr>
  </property>
</Properties>
</file>